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080" w:rsidRPr="009D3E29" w:rsidRDefault="00D30080" w:rsidP="00D30080">
      <w:pPr>
        <w:pStyle w:val="a5"/>
        <w:tabs>
          <w:tab w:val="left" w:pos="1800"/>
        </w:tabs>
        <w:ind w:left="1800" w:hanging="1800"/>
        <w:rPr>
          <w:bCs/>
          <w:sz w:val="24"/>
          <w:szCs w:val="24"/>
        </w:rPr>
      </w:pPr>
      <w:r>
        <w:rPr>
          <w:bCs/>
          <w:sz w:val="24"/>
          <w:szCs w:val="24"/>
        </w:rPr>
        <w:t>3GPP TSG RAN WG1 Meeting #89</w:t>
      </w:r>
      <w:r w:rsidRPr="009D3E29">
        <w:rPr>
          <w:rFonts w:hint="eastAsia"/>
          <w:bCs/>
          <w:sz w:val="24"/>
          <w:szCs w:val="24"/>
        </w:rPr>
        <w:t xml:space="preserve">                                            </w:t>
      </w:r>
      <w:r w:rsidRPr="009D3E29">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707459</w:t>
      </w:r>
    </w:p>
    <w:p w:rsidR="00D30080" w:rsidRDefault="00D30080" w:rsidP="00D30080">
      <w:pPr>
        <w:pStyle w:val="a5"/>
        <w:tabs>
          <w:tab w:val="left" w:pos="1800"/>
        </w:tabs>
        <w:ind w:left="1800" w:hanging="1800"/>
        <w:rPr>
          <w:bCs/>
          <w:sz w:val="24"/>
          <w:szCs w:val="24"/>
        </w:rPr>
      </w:pPr>
      <w:r>
        <w:rPr>
          <w:bCs/>
          <w:sz w:val="24"/>
          <w:szCs w:val="24"/>
        </w:rPr>
        <w:t>Hangzhou</w:t>
      </w:r>
      <w:r w:rsidRPr="009D3E29">
        <w:rPr>
          <w:bCs/>
          <w:sz w:val="24"/>
          <w:szCs w:val="24"/>
        </w:rPr>
        <w:t xml:space="preserve">, </w:t>
      </w:r>
      <w:r>
        <w:rPr>
          <w:bCs/>
          <w:sz w:val="24"/>
          <w:szCs w:val="24"/>
        </w:rPr>
        <w:t>China,</w:t>
      </w:r>
      <w:r>
        <w:rPr>
          <w:bCs/>
          <w:sz w:val="24"/>
          <w:szCs w:val="24"/>
        </w:rPr>
        <w:tab/>
        <w:t>15</w:t>
      </w:r>
      <w:r w:rsidRPr="00B77D6E">
        <w:rPr>
          <w:bCs/>
          <w:sz w:val="24"/>
          <w:szCs w:val="24"/>
          <w:vertAlign w:val="superscript"/>
        </w:rPr>
        <w:t>th</w:t>
      </w:r>
      <w:r>
        <w:rPr>
          <w:bCs/>
          <w:sz w:val="24"/>
          <w:szCs w:val="24"/>
        </w:rPr>
        <w:t xml:space="preserve"> </w:t>
      </w:r>
      <w:r w:rsidRPr="009D3E29">
        <w:rPr>
          <w:bCs/>
          <w:sz w:val="24"/>
          <w:szCs w:val="24"/>
        </w:rPr>
        <w:t xml:space="preserve">- </w:t>
      </w:r>
      <w:r>
        <w:rPr>
          <w:bCs/>
          <w:sz w:val="24"/>
          <w:szCs w:val="24"/>
        </w:rPr>
        <w:t>19</w:t>
      </w:r>
      <w:r w:rsidRPr="009D3E29">
        <w:rPr>
          <w:bCs/>
          <w:sz w:val="24"/>
          <w:szCs w:val="24"/>
          <w:vertAlign w:val="superscript"/>
        </w:rPr>
        <w:t>th</w:t>
      </w:r>
      <w:r w:rsidRPr="009D3E29">
        <w:rPr>
          <w:bCs/>
          <w:sz w:val="24"/>
          <w:szCs w:val="24"/>
        </w:rPr>
        <w:t xml:space="preserve"> </w:t>
      </w:r>
      <w:r>
        <w:rPr>
          <w:bCs/>
          <w:sz w:val="24"/>
          <w:szCs w:val="24"/>
        </w:rPr>
        <w:t>May</w:t>
      </w:r>
      <w:r w:rsidRPr="009D3E29">
        <w:rPr>
          <w:bCs/>
          <w:sz w:val="24"/>
          <w:szCs w:val="24"/>
        </w:rPr>
        <w:t xml:space="preserve"> 201</w:t>
      </w:r>
      <w:r w:rsidRPr="009D3E29">
        <w:rPr>
          <w:rFonts w:hint="eastAsia"/>
          <w:bCs/>
          <w:sz w:val="24"/>
          <w:szCs w:val="24"/>
        </w:rPr>
        <w:t>7</w:t>
      </w: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FF4FA3">
        <w:rPr>
          <w:rFonts w:ascii="Arial" w:hAnsi="Arial"/>
          <w:sz w:val="24"/>
        </w:rPr>
        <w:tab/>
        <w:t>7</w:t>
      </w:r>
      <w:r w:rsidR="007E01A9">
        <w:rPr>
          <w:rFonts w:ascii="Arial" w:hAnsi="Arial"/>
          <w:sz w:val="24"/>
        </w:rPr>
        <w:t>.1.</w:t>
      </w:r>
      <w:r w:rsidR="00080061">
        <w:rPr>
          <w:rFonts w:ascii="Arial" w:hAnsi="Arial"/>
          <w:sz w:val="24"/>
        </w:rPr>
        <w:t>1.</w:t>
      </w:r>
      <w:r w:rsidR="00FF4FA3">
        <w:rPr>
          <w:rFonts w:ascii="Arial" w:hAnsi="Arial"/>
          <w:sz w:val="24"/>
        </w:rPr>
        <w:t>1.3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FF4FA3" w:rsidRPr="00FF4FA3">
        <w:rPr>
          <w:rFonts w:ascii="Arial" w:hAnsi="Arial"/>
          <w:sz w:val="24"/>
          <w:szCs w:val="24"/>
        </w:rPr>
        <w:t>SS-block time index indication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5F46DA" w:rsidRDefault="00454947" w:rsidP="00693C74">
      <w:pPr>
        <w:pStyle w:val="1"/>
      </w:pPr>
      <w:r w:rsidRPr="00061DA0">
        <w:t>Introduction</w:t>
      </w:r>
    </w:p>
    <w:p w:rsidR="00B45BCE" w:rsidRDefault="00B45BCE" w:rsidP="00AB3EA7">
      <w:r>
        <w:t>In RAN1#88</w:t>
      </w:r>
      <w:r w:rsidR="00D03968">
        <w:t>bis</w:t>
      </w:r>
      <w:r>
        <w:t xml:space="preserve">, NR SS periodicity </w:t>
      </w:r>
      <w:r w:rsidR="00D03968">
        <w:t xml:space="preserve">and SS-block time index </w:t>
      </w:r>
      <w:r>
        <w:t xml:space="preserve">was agreed as follows, </w:t>
      </w:r>
      <w:r w:rsidR="00D03968">
        <w:t>\</w:t>
      </w:r>
    </w:p>
    <w:p w:rsidR="00D03968" w:rsidRPr="00D67911" w:rsidRDefault="00D03968" w:rsidP="00D03968">
      <w:pPr>
        <w:numPr>
          <w:ilvl w:val="0"/>
          <w:numId w:val="11"/>
        </w:numPr>
        <w:spacing w:after="0"/>
        <w:rPr>
          <w:lang w:val="en-US"/>
        </w:rPr>
      </w:pPr>
      <w:r w:rsidRPr="00D67911">
        <w:rPr>
          <w:lang w:val="en-US"/>
        </w:rPr>
        <w:t xml:space="preserve">SS burst set periodicity default value for initial cell selection: 20/20 </w:t>
      </w:r>
      <w:proofErr w:type="spellStart"/>
      <w:r w:rsidRPr="00D67911">
        <w:rPr>
          <w:lang w:val="en-US"/>
        </w:rPr>
        <w:t>msec</w:t>
      </w:r>
      <w:proofErr w:type="spellEnd"/>
    </w:p>
    <w:p w:rsidR="00D03968" w:rsidRPr="00D67911" w:rsidRDefault="00D03968" w:rsidP="00D03968">
      <w:pPr>
        <w:numPr>
          <w:ilvl w:val="1"/>
          <w:numId w:val="11"/>
        </w:numPr>
        <w:spacing w:after="0"/>
        <w:rPr>
          <w:lang w:val="en-US"/>
        </w:rPr>
      </w:pPr>
      <w:r w:rsidRPr="00D67911">
        <w:rPr>
          <w:rFonts w:hint="eastAsia"/>
          <w:lang w:val="en-US"/>
        </w:rPr>
        <w:t>Note that RAN1 assumes that RAN4 will investigate requirements</w:t>
      </w:r>
    </w:p>
    <w:p w:rsidR="00D03968" w:rsidRPr="00D67911" w:rsidRDefault="00D03968" w:rsidP="00D03968">
      <w:pPr>
        <w:numPr>
          <w:ilvl w:val="0"/>
          <w:numId w:val="11"/>
        </w:numPr>
        <w:spacing w:after="0"/>
        <w:rPr>
          <w:lang w:val="en-US"/>
        </w:rPr>
      </w:pPr>
      <w:r w:rsidRPr="00D67911">
        <w:rPr>
          <w:lang w:val="en-US"/>
        </w:rPr>
        <w:t xml:space="preserve">Time index indication: </w:t>
      </w:r>
      <w:r w:rsidRPr="00D67911">
        <w:rPr>
          <w:rFonts w:hint="eastAsia"/>
          <w:lang w:val="en-US"/>
        </w:rPr>
        <w:t>P</w:t>
      </w:r>
      <w:r w:rsidRPr="00D67911">
        <w:rPr>
          <w:lang w:val="en-US"/>
        </w:rPr>
        <w:t>BCH conditioned that mobility and HO related requirements can be met</w:t>
      </w:r>
    </w:p>
    <w:p w:rsidR="00D03968" w:rsidRDefault="00D03968" w:rsidP="00D03968">
      <w:pPr>
        <w:numPr>
          <w:ilvl w:val="1"/>
          <w:numId w:val="11"/>
        </w:numPr>
        <w:spacing w:after="0"/>
        <w:rPr>
          <w:lang w:val="en-US"/>
        </w:rPr>
      </w:pPr>
      <w:r w:rsidRPr="00D67911">
        <w:rPr>
          <w:rFonts w:hint="eastAsia"/>
          <w:lang w:val="en-US"/>
        </w:rPr>
        <w:t>Note: RAN1 assumes that RAN2 will check against to RAN2 requirements</w:t>
      </w:r>
    </w:p>
    <w:p w:rsidR="00D22438" w:rsidRDefault="00D22438" w:rsidP="00D22438">
      <w:pPr>
        <w:spacing w:after="0"/>
        <w:rPr>
          <w:lang w:val="en-US"/>
        </w:rPr>
      </w:pPr>
    </w:p>
    <w:p w:rsidR="00D22438" w:rsidRPr="00D67911" w:rsidRDefault="00D22438" w:rsidP="00D22438">
      <w:pPr>
        <w:spacing w:after="0"/>
        <w:rPr>
          <w:lang w:val="en-US"/>
        </w:rPr>
      </w:pPr>
      <w:r>
        <w:rPr>
          <w:lang w:val="en-US"/>
        </w:rPr>
        <w:t xml:space="preserve">In this contribution, we discuss the time index indication of SS-blocks and associated signals required for </w:t>
      </w:r>
    </w:p>
    <w:p w:rsidR="00D03968" w:rsidRPr="00D03968" w:rsidRDefault="00D03968" w:rsidP="00AB3EA7">
      <w:pPr>
        <w:rPr>
          <w:lang w:val="en-US"/>
        </w:rPr>
      </w:pPr>
    </w:p>
    <w:p w:rsidR="001C592C" w:rsidRDefault="00D03968" w:rsidP="007E4189">
      <w:pPr>
        <w:pStyle w:val="1"/>
        <w:rPr>
          <w:lang w:eastAsia="ja-JP"/>
        </w:rPr>
      </w:pPr>
      <w:r>
        <w:rPr>
          <w:lang w:eastAsia="ja-JP"/>
        </w:rPr>
        <w:t>SS Block Indication</w:t>
      </w:r>
    </w:p>
    <w:p w:rsidR="00D03968" w:rsidRPr="00A65723" w:rsidRDefault="00762E4F" w:rsidP="00D03968">
      <w:r>
        <w:t>SS block indication is used to identify the radio frame boundary of the detect system frame number (SFN) information.   SS block contains at least NR-PSS/NR-SS and NR-PBCH for UE to detect the DL system time and retrieve network system information.   SFN is part of system information included in NR-PBCH.   After UE detect and retrieve system information from SS-block, UE needs to allocate the SFN frame boundary.  If one SS block is transmitted in a cell, the</w:t>
      </w:r>
      <w:r w:rsidR="00D03968">
        <w:t xml:space="preserve"> SS-block will be </w:t>
      </w:r>
      <w:r>
        <w:t xml:space="preserve">transmitted on </w:t>
      </w:r>
      <w:r w:rsidR="00D03968">
        <w:t>OFDM symbols</w:t>
      </w:r>
      <w:r w:rsidR="00590EAC">
        <w:t xml:space="preserve"> with </w:t>
      </w:r>
      <w:r>
        <w:t>fixed offset from</w:t>
      </w:r>
      <w:r w:rsidR="00590EAC">
        <w:t xml:space="preserve"> radio</w:t>
      </w:r>
      <w:r>
        <w:t xml:space="preserve"> frame boundary</w:t>
      </w:r>
      <w:r w:rsidR="00590EAC">
        <w:t xml:space="preserve"> of detected SFN</w:t>
      </w:r>
      <w:r w:rsidR="00D03968">
        <w:t xml:space="preserve">.    </w:t>
      </w:r>
      <w:r w:rsidR="00884855">
        <w:t xml:space="preserve">For the time index design, it could include the subframe number within 80 ms NR-PBCH TTI to indicate the subframe offset with respect to the radio frame boundary of NR-PBCH.  Each 1 ms </w:t>
      </w:r>
      <w:r w:rsidR="002223BB">
        <w:t xml:space="preserve">subframe would consist of up to 252 OFDM symbols for subcarrier spacing 240 kHz.  This time index design provides ultimate flexibility in the implementation of allocation of SS-block for any numerology without any limitation.     </w:t>
      </w:r>
      <w:r w:rsidR="00247569">
        <w:t>T</w:t>
      </w:r>
      <w:r w:rsidR="002223BB">
        <w:t>hus, t</w:t>
      </w:r>
      <w:r w:rsidR="00247569">
        <w:t xml:space="preserve">he </w:t>
      </w:r>
      <w:r w:rsidR="00884855">
        <w:t>time index is represented by 7</w:t>
      </w:r>
      <w:r w:rsidR="00247569">
        <w:t>-bit subframe number</w:t>
      </w:r>
      <w:r w:rsidR="00884855">
        <w:t xml:space="preserve"> with respect to the starting radio frame boundary of 80 ms NR-PBCH TTI and 8-bit symbol number within the subframe.  </w:t>
      </w:r>
    </w:p>
    <w:p w:rsidR="00884855" w:rsidRPr="00884855" w:rsidRDefault="00590EAC" w:rsidP="00884855">
      <w:pPr>
        <w:rPr>
          <w:b/>
        </w:rPr>
      </w:pPr>
      <w:r>
        <w:rPr>
          <w:b/>
        </w:rPr>
        <w:t>Proposal 1</w:t>
      </w:r>
      <w:r w:rsidR="00A85BEC">
        <w:rPr>
          <w:b/>
        </w:rPr>
        <w:t xml:space="preserve">: </w:t>
      </w:r>
      <w:r w:rsidR="00884855" w:rsidRPr="00884855">
        <w:rPr>
          <w:b/>
        </w:rPr>
        <w:t xml:space="preserve">The time index is represented by 7-bit subframe number with respect to the starting radio frame boundary of 80 ms NR-PBCH TTI and 8-bit symbol number within the subframe.  </w:t>
      </w:r>
    </w:p>
    <w:p w:rsidR="00247569" w:rsidRDefault="00590EAC" w:rsidP="00A85BEC">
      <w:r>
        <w:t>For beam sweeping in multi-beam configuration, each SS-block starts transmitting</w:t>
      </w:r>
      <w:r w:rsidR="005C31C4">
        <w:t xml:space="preserve"> at the time index </w:t>
      </w:r>
      <w:r>
        <w:t xml:space="preserve">within a SS-burst set.  The time index of SS-block transmission on each beam is the timing offset relative to the radio frame boundary.   </w:t>
      </w:r>
      <w:r w:rsidR="005C31C4">
        <w:t xml:space="preserve">It was agreed that the time index included in the NR-PBCH </w:t>
      </w:r>
      <w:r>
        <w:t xml:space="preserve">after </w:t>
      </w:r>
      <w:r w:rsidR="005C31C4">
        <w:t xml:space="preserve">UE </w:t>
      </w:r>
      <w:r>
        <w:t>detection of NR-PSS/NR-SSS and demodulate the NR-PBCH on one SS-block.  Since same NR-PSS/NR-SSS signals in the SS-block are sweeping through the coverage area for cell search, UE would not be able to fetch the time index information from the detected NR-PSS/NR-SSS.  The time index information of each SS-blo</w:t>
      </w:r>
      <w:r w:rsidR="002223BB">
        <w:t xml:space="preserve">ck during beam sweeping is read from </w:t>
      </w:r>
      <w:r>
        <w:t xml:space="preserve">NR-PBCH.  </w:t>
      </w:r>
      <w:r w:rsidR="002223BB">
        <w:t xml:space="preserve">UE will derive the SFN frame boundary and each subframe number within the radio frame from the time index for all physical channel configurations.  </w:t>
      </w:r>
    </w:p>
    <w:p w:rsidR="00A85BEC" w:rsidRDefault="00A85BEC" w:rsidP="00A85BEC">
      <w:pPr>
        <w:rPr>
          <w:b/>
        </w:rPr>
      </w:pPr>
      <w:r>
        <w:rPr>
          <w:b/>
        </w:rPr>
        <w:t xml:space="preserve">Proposal </w:t>
      </w:r>
      <w:r w:rsidR="00590EAC">
        <w:rPr>
          <w:b/>
        </w:rPr>
        <w:t>2</w:t>
      </w:r>
      <w:r>
        <w:rPr>
          <w:b/>
        </w:rPr>
        <w:t xml:space="preserve">: </w:t>
      </w:r>
      <w:r w:rsidR="00884855">
        <w:rPr>
          <w:b/>
        </w:rPr>
        <w:t xml:space="preserve">For both single beam and multi-beam </w:t>
      </w:r>
      <w:r>
        <w:rPr>
          <w:b/>
        </w:rPr>
        <w:t>configuration</w:t>
      </w:r>
      <w:r w:rsidR="00884855">
        <w:rPr>
          <w:b/>
        </w:rPr>
        <w:t>, the time index</w:t>
      </w:r>
      <w:r w:rsidR="002223BB">
        <w:rPr>
          <w:b/>
        </w:rPr>
        <w:t xml:space="preserve"> </w:t>
      </w:r>
      <w:r>
        <w:rPr>
          <w:b/>
        </w:rPr>
        <w:t>include</w:t>
      </w:r>
      <w:r w:rsidR="00884855">
        <w:rPr>
          <w:b/>
        </w:rPr>
        <w:t>d in the NR-PBCH</w:t>
      </w:r>
      <w:r w:rsidR="002223BB" w:rsidRPr="002223BB">
        <w:t xml:space="preserve"> </w:t>
      </w:r>
      <w:r w:rsidR="002223BB" w:rsidRPr="002223BB">
        <w:rPr>
          <w:b/>
        </w:rPr>
        <w:t>U</w:t>
      </w:r>
      <w:r w:rsidR="002223BB">
        <w:rPr>
          <w:b/>
        </w:rPr>
        <w:t>E is to</w:t>
      </w:r>
      <w:r w:rsidR="002223BB" w:rsidRPr="002223BB">
        <w:rPr>
          <w:b/>
        </w:rPr>
        <w:t xml:space="preserve"> derive the SFN frame boundary and each subframe number within the r</w:t>
      </w:r>
      <w:r w:rsidR="002223BB">
        <w:rPr>
          <w:b/>
        </w:rPr>
        <w:t>adio frame</w:t>
      </w:r>
      <w:r w:rsidR="002223BB" w:rsidRPr="002223BB">
        <w:rPr>
          <w:b/>
        </w:rPr>
        <w:t xml:space="preserve"> for all physical channel configurations.  </w:t>
      </w:r>
    </w:p>
    <w:p w:rsidR="00C33BFB" w:rsidRDefault="00C33BFB" w:rsidP="007E7857">
      <w:pPr>
        <w:pStyle w:val="maintext"/>
        <w:spacing w:before="0" w:after="0" w:line="240" w:lineRule="auto"/>
        <w:ind w:firstLineChars="0" w:firstLine="0"/>
      </w:pPr>
    </w:p>
    <w:p w:rsidR="00174CE3" w:rsidRDefault="00C25A84" w:rsidP="00232242">
      <w:pPr>
        <w:pStyle w:val="maintext"/>
        <w:spacing w:before="0" w:after="0" w:line="240" w:lineRule="auto"/>
        <w:ind w:firstLineChars="0" w:firstLine="0"/>
      </w:pPr>
      <w:r>
        <w:t xml:space="preserve"> </w:t>
      </w:r>
      <w:r w:rsidR="006F6442">
        <w:t xml:space="preserve">The time index information might be able to derive the reference frame and subframe boundary and physical channel configuration for a given TRP. </w:t>
      </w:r>
      <w:r w:rsidR="00641655">
        <w:t xml:space="preserve"> In fully synchronous deployment of a cell with multiple TRPs and multi-beam configuration at each TRP as shown in </w:t>
      </w:r>
      <w:r w:rsidR="00CA12C4">
        <w:fldChar w:fldCharType="begin"/>
      </w:r>
      <w:r w:rsidR="00641655">
        <w:instrText xml:space="preserve"> REF _Ref481519520 \h </w:instrText>
      </w:r>
      <w:r w:rsidR="00CA12C4">
        <w:fldChar w:fldCharType="separate"/>
      </w:r>
      <w:r w:rsidR="00641655">
        <w:t xml:space="preserve">Figure </w:t>
      </w:r>
      <w:r w:rsidR="00641655">
        <w:rPr>
          <w:noProof/>
        </w:rPr>
        <w:t>1</w:t>
      </w:r>
      <w:r w:rsidR="00CA12C4">
        <w:fldChar w:fldCharType="end"/>
      </w:r>
      <w:r w:rsidR="00D359D8">
        <w:t xml:space="preserve">, each TRP would have 6 beams with same time index number 1 to 6 for beam sweeping clockwise.    In </w:t>
      </w:r>
      <w:r w:rsidR="00CA12C4">
        <w:fldChar w:fldCharType="begin"/>
      </w:r>
      <w:r w:rsidR="00D359D8">
        <w:instrText xml:space="preserve"> REF _Ref481519520 \h </w:instrText>
      </w:r>
      <w:r w:rsidR="00CA12C4">
        <w:fldChar w:fldCharType="separate"/>
      </w:r>
      <w:r w:rsidR="00D359D8">
        <w:t xml:space="preserve">Figure </w:t>
      </w:r>
      <w:r w:rsidR="00D359D8">
        <w:rPr>
          <w:noProof/>
        </w:rPr>
        <w:t>1</w:t>
      </w:r>
      <w:r w:rsidR="00CA12C4">
        <w:fldChar w:fldCharType="end"/>
      </w:r>
      <w:r w:rsidR="00D359D8">
        <w:t xml:space="preserve">, UE might detect B2 and B3 from TRP-1, B4 from TRP-3, and B2 from TRP-2.  If the time index is only parameter used to indicate the SS block, UE could not distinct beams from different TRP.  UE would perform RRM measurements based on the detected beams from all three TRPs.   In the current state, UE would </w:t>
      </w:r>
      <w:r w:rsidR="00D359D8">
        <w:lastRenderedPageBreak/>
        <w:t xml:space="preserve">get the RRM measurement from B2 due to its SFN combining from both TRP-1 and TRP-2.   If UE moves toward south east direction in </w:t>
      </w:r>
      <w:r w:rsidR="00CA12C4">
        <w:fldChar w:fldCharType="begin"/>
      </w:r>
      <w:r w:rsidR="00D359D8">
        <w:instrText xml:space="preserve"> REF _Ref481519520 \h </w:instrText>
      </w:r>
      <w:r w:rsidR="00CA12C4">
        <w:fldChar w:fldCharType="separate"/>
      </w:r>
      <w:r w:rsidR="00D359D8">
        <w:t xml:space="preserve">Figure </w:t>
      </w:r>
      <w:r w:rsidR="00D359D8">
        <w:rPr>
          <w:noProof/>
        </w:rPr>
        <w:t>1</w:t>
      </w:r>
      <w:r w:rsidR="00CA12C4">
        <w:fldChar w:fldCharType="end"/>
      </w:r>
      <w:r w:rsidR="00D359D8">
        <w:t xml:space="preserve">, </w:t>
      </w:r>
      <w:r w:rsidR="00424CC7">
        <w:t>UE would get</w:t>
      </w:r>
      <w:r w:rsidR="00D359D8">
        <w:t xml:space="preserve"> </w:t>
      </w:r>
      <w:r w:rsidR="00424CC7">
        <w:t>strongest RRM measurements from B3 because UE detects B3 signals from combining of signals from TRP-1, TRP2, and TRP-3.   Using the time index along for SS block indication is not sufficient in multi-TRP deployment scenario.  Additional beam-specific signal, such as TSS, is needed to identify beams from different TRPs.</w:t>
      </w:r>
    </w:p>
    <w:p w:rsidR="00424CC7" w:rsidRDefault="00424CC7" w:rsidP="00232242">
      <w:pPr>
        <w:pStyle w:val="maintext"/>
        <w:spacing w:before="0" w:after="0" w:line="240" w:lineRule="auto"/>
        <w:ind w:firstLineChars="0" w:firstLine="0"/>
      </w:pPr>
    </w:p>
    <w:p w:rsidR="00424CC7" w:rsidRDefault="00424CC7" w:rsidP="00232242">
      <w:pPr>
        <w:pStyle w:val="maintext"/>
        <w:spacing w:before="0" w:after="0" w:line="240" w:lineRule="auto"/>
        <w:ind w:firstLineChars="0" w:firstLine="0"/>
      </w:pPr>
    </w:p>
    <w:p w:rsidR="00424CC7" w:rsidRPr="00424CC7" w:rsidRDefault="00424CC7" w:rsidP="00424CC7">
      <w:pPr>
        <w:pStyle w:val="maintext"/>
        <w:spacing w:before="0" w:after="0" w:line="240" w:lineRule="auto"/>
        <w:ind w:firstLineChars="0" w:firstLine="0"/>
        <w:rPr>
          <w:b/>
        </w:rPr>
      </w:pPr>
      <w:r w:rsidRPr="00424CC7">
        <w:rPr>
          <w:b/>
        </w:rPr>
        <w:t>Proposal 3:  Using the time index along for SS block indication is not sufficient in multi-TRP deployment scenario.  Additional beam-specific signal, such as TSS, is needed to identify beams from different TRPs.</w:t>
      </w:r>
    </w:p>
    <w:p w:rsidR="00FE2663" w:rsidRDefault="00FE2663" w:rsidP="006F6442">
      <w:pPr>
        <w:pStyle w:val="af9"/>
        <w:jc w:val="left"/>
      </w:pPr>
    </w:p>
    <w:p w:rsidR="00FF2745" w:rsidRDefault="00D22438" w:rsidP="00FF2745">
      <w:pPr>
        <w:keepNext/>
        <w:jc w:val="center"/>
      </w:pPr>
      <w:r w:rsidRPr="00D22438">
        <w:rPr>
          <w:noProof/>
          <w:lang w:val="en-US" w:eastAsia="zh-CN"/>
        </w:rPr>
        <w:drawing>
          <wp:inline distT="0" distB="0" distL="0" distR="0">
            <wp:extent cx="3111690" cy="2101755"/>
            <wp:effectExtent l="1905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83034" cy="2880320"/>
                      <a:chOff x="3772828" y="1124744"/>
                      <a:chExt cx="3983034" cy="2880320"/>
                    </a:xfrm>
                  </a:grpSpPr>
                  <a:grpSp>
                    <a:nvGrpSpPr>
                      <a:cNvPr id="228" name="组合 227"/>
                      <a:cNvGrpSpPr/>
                    </a:nvGrpSpPr>
                    <a:grpSpPr>
                      <a:xfrm>
                        <a:off x="3772828" y="1124744"/>
                        <a:ext cx="3983034" cy="2880320"/>
                        <a:chOff x="3772828" y="1124744"/>
                        <a:chExt cx="3983034" cy="2880320"/>
                      </a:xfrm>
                    </a:grpSpPr>
                    <a:grpSp>
                      <a:nvGrpSpPr>
                        <a:cNvPr id="3" name="组合 223"/>
                        <a:cNvGrpSpPr/>
                      </a:nvGrpSpPr>
                      <a:grpSpPr>
                        <a:xfrm>
                          <a:off x="3772828" y="1124744"/>
                          <a:ext cx="3844298" cy="2880320"/>
                          <a:chOff x="3772828" y="1124744"/>
                          <a:chExt cx="3844298" cy="2880320"/>
                        </a:xfrm>
                      </a:grpSpPr>
                      <a:sp>
                        <a:nvSpPr>
                          <a:cNvPr id="100" name="Oval 90"/>
                          <a:cNvSpPr>
                            <a:spLocks noChangeAspect="1" noChangeArrowheads="1"/>
                          </a:cNvSpPr>
                        </a:nvSpPr>
                        <a:spPr bwMode="auto">
                          <a:xfrm>
                            <a:off x="3851920" y="1412776"/>
                            <a:ext cx="2097012" cy="1810054"/>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40" name="Oval 90"/>
                          <a:cNvSpPr>
                            <a:spLocks noChangeAspect="1" noChangeArrowheads="1"/>
                          </a:cNvSpPr>
                        </a:nvSpPr>
                        <a:spPr bwMode="auto">
                          <a:xfrm>
                            <a:off x="4932040" y="2420888"/>
                            <a:ext cx="2160240" cy="1584176"/>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39" name="Oval 90"/>
                          <a:cNvSpPr>
                            <a:spLocks noChangeAspect="1" noChangeArrowheads="1"/>
                          </a:cNvSpPr>
                        </a:nvSpPr>
                        <a:spPr bwMode="auto">
                          <a:xfrm>
                            <a:off x="5508104" y="1124744"/>
                            <a:ext cx="2016224" cy="1872208"/>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grpSp>
                        <a:nvGrpSpPr>
                          <a:cNvPr id="10" name="组合 87"/>
                          <a:cNvGrpSpPr/>
                        </a:nvGrpSpPr>
                        <a:grpSpPr>
                          <a:xfrm rot="471807">
                            <a:off x="3772828" y="2062088"/>
                            <a:ext cx="1141393" cy="1027534"/>
                            <a:chOff x="3790647" y="2113434"/>
                            <a:chExt cx="1141393" cy="1027534"/>
                          </a:xfrm>
                        </a:grpSpPr>
                        <a:sp>
                          <a:nvSpPr>
                            <a:cNvPr id="74" name="泪滴形 73"/>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泪滴形 8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泪滴形 8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泪滴形 8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组合 89"/>
                          <a:cNvGrpSpPr/>
                        </a:nvGrpSpPr>
                        <a:grpSpPr>
                          <a:xfrm rot="15727298">
                            <a:off x="4876479" y="2110805"/>
                            <a:ext cx="1141393" cy="1027534"/>
                            <a:chOff x="3790647" y="2113434"/>
                            <a:chExt cx="1141393" cy="1027534"/>
                          </a:xfrm>
                        </a:grpSpPr>
                        <a:sp>
                          <a:nvSpPr>
                            <a:cNvPr id="93" name="泪滴形 9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泪滴形 9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泪滴形 95"/>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泪滴形 10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泪滴形 103"/>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泪滴形 11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组合 123"/>
                          <a:cNvGrpSpPr/>
                        </a:nvGrpSpPr>
                        <a:grpSpPr>
                          <a:xfrm rot="8425357">
                            <a:off x="5488587" y="2378684"/>
                            <a:ext cx="1141393" cy="1027534"/>
                            <a:chOff x="3790647" y="2113434"/>
                            <a:chExt cx="1141393" cy="1027534"/>
                          </a:xfrm>
                        </a:grpSpPr>
                        <a:sp>
                          <a:nvSpPr>
                            <a:cNvPr id="125" name="泪滴形 124"/>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泪滴形 12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泪滴形 126"/>
                            <a:cNvSpPr/>
                          </a:nvSpPr>
                          <a:spPr>
                            <a:xfrm rot="1102659" flipH="1">
                              <a:off x="4542102"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泪滴形 127"/>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泪滴形 128"/>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泪滴形 129"/>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107" name="Picture 4"/>
                          <a:cNvPicPr>
                            <a:picLocks noChangeAspect="1" noChangeArrowheads="1"/>
                          </a:cNvPicPr>
                        </a:nvPicPr>
                        <a:blipFill>
                          <a:blip r:embed="rId8" cstate="print"/>
                          <a:srcRect/>
                          <a:stretch>
                            <a:fillRect/>
                          </a:stretch>
                        </a:blipFill>
                        <a:spPr bwMode="auto">
                          <a:xfrm>
                            <a:off x="4860032" y="2132856"/>
                            <a:ext cx="153676" cy="300583"/>
                          </a:xfrm>
                          <a:prstGeom prst="rect">
                            <a:avLst/>
                          </a:prstGeom>
                          <a:noFill/>
                          <a:ln w="9525">
                            <a:noFill/>
                            <a:miter lim="800000"/>
                            <a:headEnd/>
                            <a:tailEnd/>
                          </a:ln>
                        </a:spPr>
                      </a:pic>
                      <a:pic>
                        <a:nvPicPr>
                          <a:cNvPr id="99" name="Picture 4"/>
                          <a:cNvPicPr>
                            <a:picLocks noChangeAspect="1" noChangeArrowheads="1"/>
                          </a:cNvPicPr>
                        </a:nvPicPr>
                        <a:blipFill>
                          <a:blip r:embed="rId8" cstate="print"/>
                          <a:srcRect/>
                          <a:stretch>
                            <a:fillRect/>
                          </a:stretch>
                        </a:blipFill>
                        <a:spPr bwMode="auto">
                          <a:xfrm>
                            <a:off x="5940152" y="3212976"/>
                            <a:ext cx="153676" cy="300583"/>
                          </a:xfrm>
                          <a:prstGeom prst="rect">
                            <a:avLst/>
                          </a:prstGeom>
                          <a:noFill/>
                          <a:ln w="9525">
                            <a:noFill/>
                            <a:miter lim="800000"/>
                            <a:headEnd/>
                            <a:tailEnd/>
                          </a:ln>
                        </a:spPr>
                      </a:pic>
                      <a:grpSp>
                        <a:nvGrpSpPr>
                          <a:cNvPr id="15" name="组合 131"/>
                          <a:cNvGrpSpPr/>
                        </a:nvGrpSpPr>
                        <a:grpSpPr>
                          <a:xfrm rot="462932">
                            <a:off x="5427896" y="1916791"/>
                            <a:ext cx="1141393" cy="1027534"/>
                            <a:chOff x="3790647" y="2113434"/>
                            <a:chExt cx="1141393" cy="1027534"/>
                          </a:xfrm>
                        </a:grpSpPr>
                        <a:sp>
                          <a:nvSpPr>
                            <a:cNvPr id="133" name="泪滴形 13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泪滴形 13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泪滴形 134"/>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泪滴形 135"/>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泪滴形 136"/>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泪滴形 137"/>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80" name="Picture 7" descr="C:\Users\fcc\AppData\Local\Microsoft\Windows\Temporary Internet Files\Content.IE5\2F33NAMK\apple-157031_640[1].png"/>
                          <a:cNvPicPr>
                            <a:picLocks noChangeAspect="1" noChangeArrowheads="1"/>
                          </a:cNvPicPr>
                        </a:nvPicPr>
                        <a:blipFill>
                          <a:blip r:embed="rId9" cstate="print"/>
                          <a:srcRect/>
                          <a:stretch>
                            <a:fillRect/>
                          </a:stretch>
                        </a:blipFill>
                        <a:spPr bwMode="auto">
                          <a:xfrm>
                            <a:off x="5508104" y="2420888"/>
                            <a:ext cx="256125" cy="186914"/>
                          </a:xfrm>
                          <a:prstGeom prst="rect">
                            <a:avLst/>
                          </a:prstGeom>
                          <a:noFill/>
                        </a:spPr>
                      </a:pic>
                      <a:pic>
                        <a:nvPicPr>
                          <a:cNvPr id="114" name="Picture 4"/>
                          <a:cNvPicPr>
                            <a:picLocks noChangeAspect="1" noChangeArrowheads="1"/>
                          </a:cNvPicPr>
                        </a:nvPicPr>
                        <a:blipFill>
                          <a:blip r:embed="rId8" cstate="print"/>
                          <a:srcRect/>
                          <a:stretch>
                            <a:fillRect/>
                          </a:stretch>
                        </a:blipFill>
                        <a:spPr bwMode="auto">
                          <a:xfrm flipH="1">
                            <a:off x="6444208" y="1916832"/>
                            <a:ext cx="134356" cy="300583"/>
                          </a:xfrm>
                          <a:prstGeom prst="rect">
                            <a:avLst/>
                          </a:prstGeom>
                          <a:noFill/>
                          <a:ln w="9525">
                            <a:noFill/>
                            <a:miter lim="800000"/>
                            <a:headEnd/>
                            <a:tailEnd/>
                          </a:ln>
                        </a:spPr>
                      </a:pic>
                      <a:grpSp>
                        <a:nvGrpSpPr>
                          <a:cNvPr id="18" name="组合 147"/>
                          <a:cNvGrpSpPr/>
                        </a:nvGrpSpPr>
                        <a:grpSpPr>
                          <a:xfrm rot="14938459">
                            <a:off x="6532662" y="1750765"/>
                            <a:ext cx="1141393" cy="1027534"/>
                            <a:chOff x="3790647" y="2113434"/>
                            <a:chExt cx="1141393" cy="1027534"/>
                          </a:xfrm>
                        </a:grpSpPr>
                        <a:sp>
                          <a:nvSpPr>
                            <a:cNvPr id="149" name="泪滴形 148"/>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泪滴形 149"/>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泪滴形 15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泪滴形 15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泪滴形 15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泪滴形 153"/>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94" name="直接连接符 193"/>
                          <a:cNvCxnSpPr/>
                        </a:nvCxnSpPr>
                        <a:spPr>
                          <a:xfrm>
                            <a:off x="6516216" y="2132856"/>
                            <a:ext cx="288032" cy="792088"/>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8" name="直接连接符 197"/>
                          <a:cNvCxnSpPr>
                            <a:endCxn id="100" idx="4"/>
                          </a:cNvCxnSpPr>
                        </a:nvCxnSpPr>
                        <a:spPr>
                          <a:xfrm flipH="1">
                            <a:off x="4900426" y="2420888"/>
                            <a:ext cx="31614" cy="801942"/>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0" name="直接连接符 199"/>
                          <a:cNvCxnSpPr/>
                        </a:nvCxnSpPr>
                        <a:spPr>
                          <a:xfrm flipV="1">
                            <a:off x="6516216" y="1484784"/>
                            <a:ext cx="792088" cy="57606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3" name="直接连接符 202"/>
                          <a:cNvCxnSpPr>
                            <a:endCxn id="114" idx="3"/>
                          </a:cNvCxnSpPr>
                        </a:nvCxnSpPr>
                        <a:spPr>
                          <a:xfrm>
                            <a:off x="5652120" y="1700808"/>
                            <a:ext cx="792088" cy="36631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8" name="直接连接符 207"/>
                          <a:cNvCxnSpPr>
                            <a:endCxn id="107" idx="1"/>
                          </a:cNvCxnSpPr>
                        </a:nvCxnSpPr>
                        <a:spPr>
                          <a:xfrm>
                            <a:off x="3995936" y="1844824"/>
                            <a:ext cx="864096" cy="43832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2" name="直接连接符 211"/>
                          <a:cNvCxnSpPr/>
                        </a:nvCxnSpPr>
                        <a:spPr>
                          <a:xfrm flipH="1">
                            <a:off x="4932040" y="1772816"/>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8" name="直接连接符 217"/>
                          <a:cNvCxnSpPr/>
                        </a:nvCxnSpPr>
                        <a:spPr>
                          <a:xfrm flipH="1">
                            <a:off x="6084168" y="2924944"/>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1" name="直接连接符 220"/>
                          <a:cNvCxnSpPr>
                            <a:stCxn id="116" idx="2"/>
                            <a:endCxn id="99" idx="1"/>
                          </a:cNvCxnSpPr>
                        </a:nvCxnSpPr>
                        <a:spPr>
                          <a:xfrm>
                            <a:off x="5169811" y="2824759"/>
                            <a:ext cx="770341" cy="538509"/>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225" name="TextBox 224"/>
                        <a:cNvSpPr txBox="1"/>
                      </a:nvSpPr>
                      <a:spPr>
                        <a:xfrm>
                          <a:off x="4067944" y="148478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TRP1</a:t>
                            </a:r>
                            <a:endParaRPr lang="en-US" sz="800" dirty="0"/>
                          </a:p>
                        </a:txBody>
                        <a:useSpRect/>
                      </a:txSp>
                    </a:sp>
                    <a:sp>
                      <a:nvSpPr>
                        <a:cNvPr id="226" name="TextBox 225"/>
                        <a:cNvSpPr txBox="1"/>
                      </a:nvSpPr>
                      <a:spPr>
                        <a:xfrm>
                          <a:off x="6444208" y="364502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TRP2</a:t>
                            </a:r>
                            <a:endParaRPr lang="en-US" sz="800" dirty="0"/>
                          </a:p>
                        </a:txBody>
                        <a:useSpRect/>
                      </a:txSp>
                    </a:sp>
                    <a:sp>
                      <a:nvSpPr>
                        <a:cNvPr id="227" name="TextBox 226"/>
                        <a:cNvSpPr txBox="1"/>
                      </a:nvSpPr>
                      <a:spPr>
                        <a:xfrm>
                          <a:off x="7308304" y="1772816"/>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TRP3</a:t>
                            </a:r>
                            <a:endParaRPr lang="en-US" sz="800" dirty="0"/>
                          </a:p>
                        </a:txBody>
                        <a:useSpRect/>
                      </a:txSp>
                    </a:sp>
                  </a:grpSp>
                </lc:lockedCanvas>
              </a:graphicData>
            </a:graphic>
          </wp:inline>
        </w:drawing>
      </w:r>
    </w:p>
    <w:p w:rsidR="00FF2745" w:rsidRDefault="00FF2745" w:rsidP="00FF2745">
      <w:pPr>
        <w:pStyle w:val="af9"/>
      </w:pPr>
      <w:bookmarkStart w:id="0" w:name="_Ref481519520"/>
      <w:r>
        <w:t xml:space="preserve">Figure </w:t>
      </w:r>
      <w:fldSimple w:instr=" SEQ Figure \* ARABIC ">
        <w:r w:rsidR="006F6442">
          <w:t>1</w:t>
        </w:r>
      </w:fldSimple>
      <w:bookmarkEnd w:id="0"/>
      <w:r>
        <w:t>: Illustration of Beam index from multiple TRPs in multi-beam configuration</w:t>
      </w:r>
    </w:p>
    <w:p w:rsidR="00FF2745" w:rsidRDefault="00FF2745" w:rsidP="00FF2745"/>
    <w:p w:rsidR="00FF2745" w:rsidRPr="00FF2745" w:rsidRDefault="00FF2745" w:rsidP="00FF2745"/>
    <w:p w:rsidR="00AA142D" w:rsidRDefault="00AA142D" w:rsidP="00AA142D">
      <w:pPr>
        <w:rPr>
          <w:b/>
        </w:rPr>
      </w:pPr>
    </w:p>
    <w:p w:rsidR="000859B2" w:rsidRPr="001D1EC3" w:rsidRDefault="000859B2" w:rsidP="00200DCD">
      <w:pPr>
        <w:pStyle w:val="1"/>
      </w:pPr>
      <w:r>
        <w:t>Conclusion</w:t>
      </w:r>
    </w:p>
    <w:p w:rsidR="00E42762" w:rsidRDefault="00380740" w:rsidP="00E42762">
      <w:r>
        <w:t>Thi</w:t>
      </w:r>
      <w:r w:rsidR="00E42762">
        <w:t>s paper discusses th</w:t>
      </w:r>
      <w:r w:rsidR="00AA142D">
        <w:t xml:space="preserve">e </w:t>
      </w:r>
      <w:r w:rsidR="00C07FB4">
        <w:t>time index</w:t>
      </w:r>
      <w:r w:rsidR="00383FEB">
        <w:t xml:space="preserve"> of</w:t>
      </w:r>
      <w:r w:rsidR="00AA142D">
        <w:t xml:space="preserve"> </w:t>
      </w:r>
      <w:r w:rsidR="00C07FB4">
        <w:t>SS-block</w:t>
      </w:r>
      <w:r w:rsidR="001505B8">
        <w:t>.  We pro</w:t>
      </w:r>
      <w:r w:rsidR="00E42762">
        <w:t xml:space="preserve">pose the following, </w:t>
      </w:r>
      <w:r w:rsidR="00D42529">
        <w:t xml:space="preserve"> </w:t>
      </w:r>
    </w:p>
    <w:p w:rsidR="00424CC7" w:rsidRPr="00C07FB4" w:rsidRDefault="00424CC7" w:rsidP="00424CC7">
      <w:pPr>
        <w:pStyle w:val="afa"/>
        <w:numPr>
          <w:ilvl w:val="0"/>
          <w:numId w:val="5"/>
        </w:numPr>
      </w:pPr>
      <w:r w:rsidRPr="00C07FB4">
        <w:t xml:space="preserve">Proposal 1: The time index is represented by 7-bit subframe number with respect to the starting radio frame boundary of 80 ms NR-PBCH TTI and 8-bit symbol number within the subframe.  </w:t>
      </w:r>
    </w:p>
    <w:p w:rsidR="00424CC7" w:rsidRPr="00C07FB4" w:rsidRDefault="00424CC7" w:rsidP="00424CC7">
      <w:pPr>
        <w:pStyle w:val="afa"/>
        <w:numPr>
          <w:ilvl w:val="0"/>
          <w:numId w:val="5"/>
        </w:numPr>
      </w:pPr>
      <w:r w:rsidRPr="00C07FB4">
        <w:t xml:space="preserve">Proposal 2: For both single beam and multi-beam configuration, the time index included in the NR-PBCH UE is to derive the SFN frame boundary and each subframe number within the radio frame for all physical channel configurations.  </w:t>
      </w:r>
    </w:p>
    <w:p w:rsidR="00424CC7" w:rsidRPr="00C07FB4" w:rsidRDefault="00424CC7" w:rsidP="00424CC7">
      <w:pPr>
        <w:pStyle w:val="maintext"/>
        <w:numPr>
          <w:ilvl w:val="0"/>
          <w:numId w:val="5"/>
        </w:numPr>
        <w:spacing w:before="0" w:after="0" w:line="240" w:lineRule="auto"/>
        <w:ind w:firstLineChars="0"/>
      </w:pPr>
      <w:r w:rsidRPr="00C07FB4">
        <w:t>Proposal 3:  Using the time index along for SS block indication is not sufficient in multi-TRP deployment scenario.  Additional beam-specific signal, such as TSS, is needed to identify beams from different TRPs.</w:t>
      </w:r>
    </w:p>
    <w:p w:rsidR="00017155" w:rsidRPr="00A4102F" w:rsidRDefault="00017155" w:rsidP="00415673">
      <w:pPr>
        <w:pStyle w:val="8"/>
      </w:pPr>
      <w:r>
        <w:t>Reference</w:t>
      </w:r>
    </w:p>
    <w:p w:rsidR="0066736A" w:rsidRDefault="00B45BCE" w:rsidP="00545707">
      <w:pPr>
        <w:pStyle w:val="afa"/>
        <w:numPr>
          <w:ilvl w:val="0"/>
          <w:numId w:val="2"/>
        </w:numPr>
        <w:rPr>
          <w:rFonts w:eastAsia="MS Mincho"/>
          <w:szCs w:val="20"/>
        </w:rPr>
      </w:pPr>
      <w:bookmarkStart w:id="1" w:name="_Ref430885014"/>
      <w:r>
        <w:rPr>
          <w:rFonts w:eastAsia="MS Mincho"/>
          <w:szCs w:val="20"/>
        </w:rPr>
        <w:t>RP-170855</w:t>
      </w:r>
      <w:r w:rsidR="0072107C" w:rsidRPr="00ED418A">
        <w:rPr>
          <w:rFonts w:eastAsia="MS Mincho"/>
          <w:szCs w:val="20"/>
        </w:rPr>
        <w:t>, “</w:t>
      </w:r>
      <w:r w:rsidRPr="00B45BCE">
        <w:rPr>
          <w:rFonts w:eastAsia="MS Mincho"/>
          <w:szCs w:val="20"/>
        </w:rPr>
        <w:t>New WID on New Radio Access Technology</w:t>
      </w:r>
      <w:r w:rsidR="0072107C" w:rsidRPr="00ED418A">
        <w:rPr>
          <w:rFonts w:eastAsia="MS Mincho"/>
          <w:szCs w:val="20"/>
        </w:rPr>
        <w:t>”</w:t>
      </w:r>
      <w:r w:rsidR="00ED418A">
        <w:rPr>
          <w:rFonts w:eastAsia="MS Mincho"/>
          <w:szCs w:val="20"/>
        </w:rPr>
        <w:t xml:space="preserve">, </w:t>
      </w:r>
      <w:proofErr w:type="spellStart"/>
      <w:r w:rsidR="00ED418A">
        <w:rPr>
          <w:rFonts w:eastAsia="MS Mincho"/>
          <w:szCs w:val="20"/>
        </w:rPr>
        <w:t>DoCoMo</w:t>
      </w:r>
      <w:proofErr w:type="spellEnd"/>
    </w:p>
    <w:p w:rsidR="00ED418A" w:rsidRDefault="00ED418A" w:rsidP="00545707">
      <w:pPr>
        <w:pStyle w:val="afa"/>
        <w:numPr>
          <w:ilvl w:val="0"/>
          <w:numId w:val="2"/>
        </w:numPr>
        <w:rPr>
          <w:rFonts w:eastAsia="MS Mincho"/>
          <w:szCs w:val="20"/>
        </w:rPr>
      </w:pPr>
      <w:bookmarkStart w:id="2" w:name="_Ref446581113"/>
      <w:r w:rsidRPr="00ED418A">
        <w:rPr>
          <w:rFonts w:eastAsia="MS Mincho"/>
          <w:szCs w:val="20"/>
        </w:rPr>
        <w:t>TR38.913v0.2.1, “Study on Scenarios and Requirements for Next Generation Access Technologies</w:t>
      </w:r>
      <w:r>
        <w:rPr>
          <w:rFonts w:eastAsia="MS Mincho"/>
          <w:szCs w:val="20"/>
        </w:rPr>
        <w:t>”, CMCC</w:t>
      </w:r>
      <w:bookmarkEnd w:id="2"/>
    </w:p>
    <w:p w:rsidR="00C07FB4" w:rsidRPr="00C07FB4" w:rsidRDefault="00C07FB4" w:rsidP="00C07FB4">
      <w:pPr>
        <w:pStyle w:val="afa"/>
        <w:numPr>
          <w:ilvl w:val="0"/>
          <w:numId w:val="2"/>
        </w:numPr>
        <w:rPr>
          <w:rFonts w:eastAsia="MS Mincho"/>
        </w:rPr>
      </w:pPr>
      <w:bookmarkStart w:id="3" w:name="_Ref474090957"/>
      <w:bookmarkStart w:id="4" w:name="_Ref471623167"/>
      <w:r w:rsidRPr="00C07FB4">
        <w:rPr>
          <w:rFonts w:eastAsia="MS Mincho" w:hint="eastAsia"/>
        </w:rPr>
        <w:t>R1-1706534</w:t>
      </w:r>
      <w:r>
        <w:rPr>
          <w:rFonts w:eastAsia="MS Mincho"/>
        </w:rPr>
        <w:t xml:space="preserve">, “Summary of discussion on </w:t>
      </w:r>
      <w:r w:rsidRPr="00807297">
        <w:rPr>
          <w:rFonts w:eastAsia="MS Mincho"/>
        </w:rPr>
        <w:t>SS block composi</w:t>
      </w:r>
      <w:r>
        <w:rPr>
          <w:rFonts w:eastAsia="MS Mincho"/>
        </w:rPr>
        <w:t xml:space="preserve">tion, SS burst set composition </w:t>
      </w:r>
      <w:r w:rsidRPr="00807297">
        <w:rPr>
          <w:rFonts w:eastAsia="MS Mincho"/>
        </w:rPr>
        <w:t>and SS time index indication</w:t>
      </w:r>
      <w:r>
        <w:rPr>
          <w:rFonts w:eastAsia="MS Mincho"/>
        </w:rPr>
        <w:t xml:space="preserve">”, </w:t>
      </w:r>
      <w:r w:rsidRPr="00807297">
        <w:rPr>
          <w:rFonts w:eastAsia="MS Mincho" w:hint="eastAsia"/>
        </w:rPr>
        <w:t>Ericsson</w:t>
      </w:r>
    </w:p>
    <w:p w:rsidR="00C07FB4" w:rsidRPr="00C07FB4" w:rsidRDefault="00C07FB4" w:rsidP="00C07FB4">
      <w:pPr>
        <w:pStyle w:val="afa"/>
        <w:numPr>
          <w:ilvl w:val="0"/>
          <w:numId w:val="2"/>
        </w:numPr>
        <w:rPr>
          <w:rFonts w:eastAsia="MS Mincho"/>
          <w:b/>
        </w:rPr>
      </w:pPr>
      <w:r w:rsidRPr="00C07FB4">
        <w:rPr>
          <w:rFonts w:eastAsia="MS Mincho" w:hint="eastAsia"/>
        </w:rPr>
        <w:t>R1-1706689</w:t>
      </w:r>
      <w:r>
        <w:rPr>
          <w:rFonts w:eastAsia="MS Mincho"/>
          <w:b/>
        </w:rPr>
        <w:t>, “</w:t>
      </w:r>
      <w:r w:rsidRPr="00D67911">
        <w:rPr>
          <w:rFonts w:eastAsia="MS Mincho"/>
        </w:rPr>
        <w:t>Initial Access Offline Outcome</w:t>
      </w:r>
      <w:r>
        <w:rPr>
          <w:rFonts w:eastAsia="MS Mincho"/>
        </w:rPr>
        <w:t xml:space="preserve">”, </w:t>
      </w:r>
      <w:r w:rsidRPr="00D67911">
        <w:rPr>
          <w:rFonts w:eastAsia="MS Mincho" w:hint="eastAsia"/>
        </w:rPr>
        <w:t>Qualcomm, Ericsson</w:t>
      </w:r>
    </w:p>
    <w:p w:rsidR="00964E9E" w:rsidRPr="00964E9E" w:rsidRDefault="00C07FB4" w:rsidP="00545707">
      <w:pPr>
        <w:pStyle w:val="afa"/>
        <w:numPr>
          <w:ilvl w:val="0"/>
          <w:numId w:val="2"/>
        </w:numPr>
        <w:rPr>
          <w:rFonts w:eastAsia="MS Mincho"/>
        </w:rPr>
      </w:pPr>
      <w:r>
        <w:rPr>
          <w:rFonts w:eastAsia="MS Mincho"/>
        </w:rPr>
        <w:t>R1-1704536</w:t>
      </w:r>
      <w:r w:rsidR="00964E9E">
        <w:rPr>
          <w:rFonts w:eastAsia="MS Mincho"/>
        </w:rPr>
        <w:t>, “</w:t>
      </w:r>
      <w:r w:rsidR="00964E9E" w:rsidRPr="00964E9E">
        <w:rPr>
          <w:rFonts w:eastAsia="MS Mincho"/>
        </w:rPr>
        <w:t>NR SS periodicity</w:t>
      </w:r>
      <w:r w:rsidR="00964E9E">
        <w:rPr>
          <w:rFonts w:eastAsia="MS Mincho"/>
        </w:rPr>
        <w:t xml:space="preserve">”, </w:t>
      </w:r>
      <w:r w:rsidR="00964E9E" w:rsidRPr="00964E9E">
        <w:rPr>
          <w:rFonts w:eastAsia="MS Mincho"/>
        </w:rPr>
        <w:tab/>
        <w:t>CATT</w:t>
      </w:r>
      <w:bookmarkEnd w:id="3"/>
    </w:p>
    <w:bookmarkEnd w:id="1"/>
    <w:bookmarkEnd w:id="4"/>
    <w:p w:rsidR="00BC52B3" w:rsidRPr="00BC52B3" w:rsidRDefault="00BC52B3" w:rsidP="00BC52B3">
      <w:pPr>
        <w:pStyle w:val="afa"/>
        <w:rPr>
          <w:rFonts w:eastAsia="MS Mincho"/>
          <w:szCs w:val="20"/>
        </w:rPr>
      </w:pPr>
    </w:p>
    <w:sectPr w:rsidR="00BC52B3" w:rsidRPr="00BC52B3"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03A" w:rsidRDefault="0055703A" w:rsidP="00086ACB">
      <w:r>
        <w:separator/>
      </w:r>
    </w:p>
  </w:endnote>
  <w:endnote w:type="continuationSeparator" w:id="0">
    <w:p w:rsidR="0055703A" w:rsidRDefault="0055703A"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A12C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A12C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D30080">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03A" w:rsidRDefault="0055703A" w:rsidP="00086ACB">
      <w:r>
        <w:separator/>
      </w:r>
    </w:p>
  </w:footnote>
  <w:footnote w:type="continuationSeparator" w:id="0">
    <w:p w:rsidR="0055703A" w:rsidRDefault="0055703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10">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0"/>
  </w:num>
  <w:num w:numId="4">
    <w:abstractNumId w:val="1"/>
  </w:num>
  <w:num w:numId="5">
    <w:abstractNumId w:val="2"/>
  </w:num>
  <w:num w:numId="6">
    <w:abstractNumId w:val="4"/>
  </w:num>
  <w:num w:numId="7">
    <w:abstractNumId w:val="9"/>
  </w:num>
  <w:num w:numId="8">
    <w:abstractNumId w:val="7"/>
  </w:num>
  <w:num w:numId="9">
    <w:abstractNumId w:val="3"/>
  </w:num>
  <w:num w:numId="10">
    <w:abstractNumId w:val="6"/>
  </w:num>
  <w:num w:numId="11">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493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18E5"/>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BA7"/>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4F09"/>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55E"/>
    <w:rsid w:val="000A45F5"/>
    <w:rsid w:val="000A56CE"/>
    <w:rsid w:val="000A5C23"/>
    <w:rsid w:val="000A66F3"/>
    <w:rsid w:val="000A6D28"/>
    <w:rsid w:val="000B0254"/>
    <w:rsid w:val="000B0477"/>
    <w:rsid w:val="000B21A5"/>
    <w:rsid w:val="000B26E0"/>
    <w:rsid w:val="000B3869"/>
    <w:rsid w:val="000B3B91"/>
    <w:rsid w:val="000B42AC"/>
    <w:rsid w:val="000B54AF"/>
    <w:rsid w:val="000B5A14"/>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1342"/>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BFC"/>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712"/>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4CE3"/>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2F"/>
    <w:rsid w:val="002214D3"/>
    <w:rsid w:val="00221EC3"/>
    <w:rsid w:val="002223BB"/>
    <w:rsid w:val="002225D8"/>
    <w:rsid w:val="00222D33"/>
    <w:rsid w:val="00223E6F"/>
    <w:rsid w:val="00224AD8"/>
    <w:rsid w:val="00224B7A"/>
    <w:rsid w:val="00225658"/>
    <w:rsid w:val="00225803"/>
    <w:rsid w:val="00226F0A"/>
    <w:rsid w:val="00227558"/>
    <w:rsid w:val="00227CB5"/>
    <w:rsid w:val="00227E97"/>
    <w:rsid w:val="00230943"/>
    <w:rsid w:val="002312E0"/>
    <w:rsid w:val="00232217"/>
    <w:rsid w:val="00232242"/>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47569"/>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6E24"/>
    <w:rsid w:val="00270DAE"/>
    <w:rsid w:val="00271849"/>
    <w:rsid w:val="00272C1F"/>
    <w:rsid w:val="00273E95"/>
    <w:rsid w:val="002742C1"/>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2E86"/>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088"/>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3FEB"/>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3E63"/>
    <w:rsid w:val="003B455E"/>
    <w:rsid w:val="003B4F14"/>
    <w:rsid w:val="003B5766"/>
    <w:rsid w:val="003B60D0"/>
    <w:rsid w:val="003B62BC"/>
    <w:rsid w:val="003B6A51"/>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1EB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CC7"/>
    <w:rsid w:val="00424DB1"/>
    <w:rsid w:val="0042674B"/>
    <w:rsid w:val="00426764"/>
    <w:rsid w:val="00426906"/>
    <w:rsid w:val="0042787C"/>
    <w:rsid w:val="004318EB"/>
    <w:rsid w:val="00432160"/>
    <w:rsid w:val="00432D1E"/>
    <w:rsid w:val="00434494"/>
    <w:rsid w:val="0043487D"/>
    <w:rsid w:val="004349F2"/>
    <w:rsid w:val="00434FFC"/>
    <w:rsid w:val="00435176"/>
    <w:rsid w:val="00435AD7"/>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E6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5738"/>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5D57"/>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707"/>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03A"/>
    <w:rsid w:val="00557209"/>
    <w:rsid w:val="005609DC"/>
    <w:rsid w:val="00561673"/>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212"/>
    <w:rsid w:val="00586C5D"/>
    <w:rsid w:val="00590BB8"/>
    <w:rsid w:val="00590EAC"/>
    <w:rsid w:val="005911BF"/>
    <w:rsid w:val="005917F8"/>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5795"/>
    <w:rsid w:val="005B6034"/>
    <w:rsid w:val="005B61A8"/>
    <w:rsid w:val="005B65C6"/>
    <w:rsid w:val="005B714A"/>
    <w:rsid w:val="005C0BA2"/>
    <w:rsid w:val="005C15D4"/>
    <w:rsid w:val="005C1C21"/>
    <w:rsid w:val="005C2573"/>
    <w:rsid w:val="005C288D"/>
    <w:rsid w:val="005C31C4"/>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2869"/>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3CCA"/>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655"/>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F02"/>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6442"/>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6C73"/>
    <w:rsid w:val="00717D35"/>
    <w:rsid w:val="0072107C"/>
    <w:rsid w:val="00721E15"/>
    <w:rsid w:val="00724138"/>
    <w:rsid w:val="00724321"/>
    <w:rsid w:val="00724965"/>
    <w:rsid w:val="00724EE9"/>
    <w:rsid w:val="0072530D"/>
    <w:rsid w:val="0072752A"/>
    <w:rsid w:val="00727613"/>
    <w:rsid w:val="007277FF"/>
    <w:rsid w:val="00727DB1"/>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2E4F"/>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97CF8"/>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189"/>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A64"/>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041"/>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5"/>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007"/>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06E8"/>
    <w:rsid w:val="009316A1"/>
    <w:rsid w:val="00931A97"/>
    <w:rsid w:val="00931E5C"/>
    <w:rsid w:val="0093234C"/>
    <w:rsid w:val="009326E6"/>
    <w:rsid w:val="00932808"/>
    <w:rsid w:val="00932969"/>
    <w:rsid w:val="00932B26"/>
    <w:rsid w:val="009344AA"/>
    <w:rsid w:val="00934635"/>
    <w:rsid w:val="009354C5"/>
    <w:rsid w:val="00935590"/>
    <w:rsid w:val="009355AF"/>
    <w:rsid w:val="00936012"/>
    <w:rsid w:val="00937D9E"/>
    <w:rsid w:val="00940A25"/>
    <w:rsid w:val="0094123B"/>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E9E"/>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70C"/>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8F0"/>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6B28"/>
    <w:rsid w:val="00A47640"/>
    <w:rsid w:val="00A503F6"/>
    <w:rsid w:val="00A505BF"/>
    <w:rsid w:val="00A5232A"/>
    <w:rsid w:val="00A52372"/>
    <w:rsid w:val="00A52655"/>
    <w:rsid w:val="00A52F6A"/>
    <w:rsid w:val="00A545DC"/>
    <w:rsid w:val="00A54AFE"/>
    <w:rsid w:val="00A559FC"/>
    <w:rsid w:val="00A55D97"/>
    <w:rsid w:val="00A56C65"/>
    <w:rsid w:val="00A57084"/>
    <w:rsid w:val="00A607CC"/>
    <w:rsid w:val="00A61A8E"/>
    <w:rsid w:val="00A62F60"/>
    <w:rsid w:val="00A64084"/>
    <w:rsid w:val="00A64A13"/>
    <w:rsid w:val="00A66733"/>
    <w:rsid w:val="00A66D93"/>
    <w:rsid w:val="00A66FC8"/>
    <w:rsid w:val="00A70179"/>
    <w:rsid w:val="00A7116E"/>
    <w:rsid w:val="00A71937"/>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5BEC"/>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1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3EA7"/>
    <w:rsid w:val="00AB4C19"/>
    <w:rsid w:val="00AB52B5"/>
    <w:rsid w:val="00AB52FB"/>
    <w:rsid w:val="00AB769D"/>
    <w:rsid w:val="00AB7B54"/>
    <w:rsid w:val="00AC18C4"/>
    <w:rsid w:val="00AC33CC"/>
    <w:rsid w:val="00AC3B8A"/>
    <w:rsid w:val="00AC43D7"/>
    <w:rsid w:val="00AC4A35"/>
    <w:rsid w:val="00AC4B54"/>
    <w:rsid w:val="00AC584C"/>
    <w:rsid w:val="00AC594D"/>
    <w:rsid w:val="00AC6013"/>
    <w:rsid w:val="00AC66A8"/>
    <w:rsid w:val="00AC68DC"/>
    <w:rsid w:val="00AD1924"/>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07CFF"/>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5BCE"/>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31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0A48"/>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D36"/>
    <w:rsid w:val="00BE2E18"/>
    <w:rsid w:val="00BE3883"/>
    <w:rsid w:val="00BE3ADE"/>
    <w:rsid w:val="00BE6942"/>
    <w:rsid w:val="00BE7D3C"/>
    <w:rsid w:val="00BF009E"/>
    <w:rsid w:val="00BF0CEA"/>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07FB4"/>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17D25"/>
    <w:rsid w:val="00C2046E"/>
    <w:rsid w:val="00C21844"/>
    <w:rsid w:val="00C21D5A"/>
    <w:rsid w:val="00C22BE3"/>
    <w:rsid w:val="00C22C3E"/>
    <w:rsid w:val="00C22E50"/>
    <w:rsid w:val="00C2559C"/>
    <w:rsid w:val="00C25A84"/>
    <w:rsid w:val="00C263D4"/>
    <w:rsid w:val="00C269D3"/>
    <w:rsid w:val="00C27536"/>
    <w:rsid w:val="00C3000B"/>
    <w:rsid w:val="00C33BF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2C4"/>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845"/>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968"/>
    <w:rsid w:val="00D03E0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1B0"/>
    <w:rsid w:val="00D22311"/>
    <w:rsid w:val="00D22389"/>
    <w:rsid w:val="00D22438"/>
    <w:rsid w:val="00D22583"/>
    <w:rsid w:val="00D22B97"/>
    <w:rsid w:val="00D24737"/>
    <w:rsid w:val="00D253CA"/>
    <w:rsid w:val="00D25FBF"/>
    <w:rsid w:val="00D27BEC"/>
    <w:rsid w:val="00D30080"/>
    <w:rsid w:val="00D31BF6"/>
    <w:rsid w:val="00D31E88"/>
    <w:rsid w:val="00D32CED"/>
    <w:rsid w:val="00D339C4"/>
    <w:rsid w:val="00D339D9"/>
    <w:rsid w:val="00D33A4D"/>
    <w:rsid w:val="00D33B19"/>
    <w:rsid w:val="00D33CC4"/>
    <w:rsid w:val="00D34067"/>
    <w:rsid w:val="00D3449C"/>
    <w:rsid w:val="00D349F9"/>
    <w:rsid w:val="00D34F4E"/>
    <w:rsid w:val="00D34F88"/>
    <w:rsid w:val="00D359D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1D91"/>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19"/>
    <w:rsid w:val="00DE5D8C"/>
    <w:rsid w:val="00DE6442"/>
    <w:rsid w:val="00DE7E32"/>
    <w:rsid w:val="00DF06E7"/>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07F"/>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3D34"/>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2921"/>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0B0"/>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77907"/>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419"/>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EFE"/>
    <w:rsid w:val="00FD128E"/>
    <w:rsid w:val="00FD2168"/>
    <w:rsid w:val="00FD26B7"/>
    <w:rsid w:val="00FD35D9"/>
    <w:rsid w:val="00FD3981"/>
    <w:rsid w:val="00FD456C"/>
    <w:rsid w:val="00FD5E7D"/>
    <w:rsid w:val="00FD741B"/>
    <w:rsid w:val="00FE1320"/>
    <w:rsid w:val="00FE18C0"/>
    <w:rsid w:val="00FE1B0C"/>
    <w:rsid w:val="00FE2663"/>
    <w:rsid w:val="00FE27B1"/>
    <w:rsid w:val="00FE29F0"/>
    <w:rsid w:val="00FE2AF2"/>
    <w:rsid w:val="00FE31C7"/>
    <w:rsid w:val="00FE4C2C"/>
    <w:rsid w:val="00FE50CF"/>
    <w:rsid w:val="00FE575B"/>
    <w:rsid w:val="00FE71E2"/>
    <w:rsid w:val="00FE739D"/>
    <w:rsid w:val="00FF1004"/>
    <w:rsid w:val="00FF166E"/>
    <w:rsid w:val="00FF17DC"/>
    <w:rsid w:val="00FF2745"/>
    <w:rsid w:val="00FF2F39"/>
    <w:rsid w:val="00FF30D9"/>
    <w:rsid w:val="00FF41FB"/>
    <w:rsid w:val="00FF4FA3"/>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Heading 3 3GPP"/>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Heading 3 3GPP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831A64"/>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31A64"/>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customStyle="1" w:styleId="ComeBack">
    <w:name w:val="ComeBack"/>
    <w:basedOn w:val="a"/>
    <w:next w:val="a"/>
    <w:rsid w:val="00515D57"/>
    <w:pPr>
      <w:numPr>
        <w:numId w:val="6"/>
      </w:numPr>
      <w:spacing w:after="0"/>
    </w:pPr>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3245615">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D6A06AC-2166-4F96-AA51-73FC2E4AC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1811</TotalTime>
  <Pages>2</Pages>
  <Words>873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39</cp:revision>
  <cp:lastPrinted>2006-02-09T13:55:00Z</cp:lastPrinted>
  <dcterms:created xsi:type="dcterms:W3CDTF">2016-12-23T20:58:00Z</dcterms:created>
  <dcterms:modified xsi:type="dcterms:W3CDTF">2017-05-03T04:42:00Z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